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.664001464843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77.325439453125" w:line="240" w:lineRule="auto"/>
        <w:ind w:left="547.919921875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</w:rPr>
        <w:drawing>
          <wp:inline distB="114300" distT="114300" distL="114300" distR="114300">
            <wp:extent cx="4078872" cy="60482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0471" l="9804" r="8903" t="27900"/>
                    <a:stretch>
                      <a:fillRect/>
                    </a:stretch>
                  </pic:blipFill>
                  <pic:spPr>
                    <a:xfrm>
                      <a:off x="0" y="0"/>
                      <a:ext cx="4078872" cy="6048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4803466796875" w:line="358.46760749816895" w:lineRule="auto"/>
        <w:ind w:left="335.9199523925781" w:right="283.599853515625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0404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04040"/>
          <w:sz w:val="72"/>
          <w:szCs w:val="72"/>
          <w:rtl w:val="0"/>
        </w:rPr>
        <w:t xml:space="preserve">AI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04040"/>
          <w:sz w:val="72"/>
          <w:szCs w:val="72"/>
          <w:u w:val="none"/>
          <w:shd w:fill="auto" w:val="clear"/>
          <w:vertAlign w:val="baseline"/>
          <w:rtl w:val="0"/>
        </w:rPr>
        <w:t xml:space="preserve"> Policy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404040"/>
          <w:sz w:val="72"/>
          <w:szCs w:val="72"/>
          <w:u w:val="none"/>
          <w:shd w:fill="auto" w:val="clear"/>
          <w:vertAlign w:val="baseline"/>
        </w:rPr>
        <w:drawing>
          <wp:inline distB="19050" distT="19050" distL="19050" distR="19050">
            <wp:extent cx="6083300" cy="1841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184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601.919860839844" w:type="dxa"/>
        <w:jc w:val="left"/>
        <w:tblInd w:w="597.59994506835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1.3201904296875"/>
        <w:gridCol w:w="3199.5999145507812"/>
        <w:gridCol w:w="3180.999755859375"/>
        <w:tblGridChange w:id="0">
          <w:tblGrid>
            <w:gridCol w:w="3221.3201904296875"/>
            <w:gridCol w:w="3199.5999145507812"/>
            <w:gridCol w:w="3180.999755859375"/>
          </w:tblGrid>
        </w:tblGridChange>
      </w:tblGrid>
      <w:tr>
        <w:trPr>
          <w:cantSplit w:val="0"/>
          <w:trHeight w:val="319.1983032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29.4003295898438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0.1599121093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Author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82.1594238281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Change Reference</w:t>
            </w:r>
          </w:p>
        </w:tc>
      </w:tr>
      <w:tr>
        <w:trPr>
          <w:cantSplit w:val="0"/>
          <w:trHeight w:val="302.40112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.31997680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05/21/2025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.3599243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Ritesh Agarwal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9.7601318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previous document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4400634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.3599243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9.52026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5.4400634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.3599243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9.52026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.398864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0.31997680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.3599243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9.7601318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.400054931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.3599243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9.7601318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80010986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7.3599243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9.7601318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5.926513671875" w:line="240" w:lineRule="auto"/>
        <w:ind w:left="15.70556640625" w:right="0" w:firstLine="0"/>
        <w:jc w:val="left"/>
        <w:rPr>
          <w:rFonts w:ascii="Cambria" w:cs="Cambria" w:eastAsia="Cambria" w:hAnsi="Cambria"/>
          <w:b w:val="1"/>
          <w:bCs w:val="1"/>
          <w:color w:val="365f91"/>
          <w:sz w:val="28.079999923706055"/>
          <w:szCs w:val="28.07999992370605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widowControl w:val="0"/>
        <w:spacing w:before="1525.926513671875" w:line="240" w:lineRule="auto"/>
        <w:ind w:left="15.70556640625" w:firstLine="0"/>
        <w:rPr>
          <w:vertAlign w:val="baseline"/>
        </w:rPr>
      </w:pPr>
      <w:bookmarkStart w:colFirst="0" w:colLast="0" w:name="_rqmm47p5ybn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Title"/>
        <w:spacing w:after="60" w:before="0" w:lineRule="auto"/>
        <w:rPr>
          <w:b w:val="0"/>
          <w:bCs w:val="0"/>
          <w:sz w:val="52"/>
          <w:szCs w:val="52"/>
        </w:rPr>
      </w:pPr>
      <w:bookmarkStart w:colFirst="0" w:colLast="0" w:name="_yii5inipgpsd" w:id="1"/>
      <w:bookmarkEnd w:id="1"/>
      <w:r w:rsidDel="00000000" w:rsidR="00000000" w:rsidRPr="00000000">
        <w:rPr>
          <w:rtl w:val="0"/>
        </w:rPr>
      </w:r>
    </w:p>
    <w:sdt>
      <w:sdtPr>
        <w:id w:val="-25952902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D">
          <w:pPr>
            <w:pStyle w:val="Heading2"/>
            <w:widowControl w:val="0"/>
            <w:tabs>
              <w:tab w:val="right" w:leader="none" w:pos="10199.519805908203"/>
            </w:tabs>
            <w:spacing w:before="60" w:line="240" w:lineRule="auto"/>
            <w:rPr/>
          </w:pPr>
          <w:bookmarkStart w:colFirst="0" w:colLast="0" w:name="_pocrotru3ol6" w:id="2"/>
          <w:bookmarkEnd w:id="2"/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rqmm47p5ybnp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Table of Contents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ftddanprn6za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Purpose</w:t>
              <w:tab/>
            </w:r>
          </w:hyperlink>
          <w:r w:rsidDel="00000000" w:rsidR="00000000" w:rsidRPr="00000000">
            <w:fldChar w:fldCharType="begin"/>
            <w:instrText xml:space="preserve"> PAGEREF _ftddanprn6za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o6v7ej77pq78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Scope</w:t>
              <w:tab/>
            </w:r>
          </w:hyperlink>
          <w:r w:rsidDel="00000000" w:rsidR="00000000" w:rsidRPr="00000000">
            <w:fldChar w:fldCharType="begin"/>
            <w:instrText xml:space="preserve"> PAGEREF _o6v7ej77pq78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6c8ti4v7y4d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Ethical AI Principles</w:t>
              <w:tab/>
            </w:r>
          </w:hyperlink>
          <w:r w:rsidDel="00000000" w:rsidR="00000000" w:rsidRPr="00000000">
            <w:fldChar w:fldCharType="begin"/>
            <w:instrText xml:space="preserve"> PAGEREF _6c8ti4v7y4d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zcgzo7umpj3r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Data Privacy and Security</w:t>
              <w:tab/>
            </w:r>
          </w:hyperlink>
          <w:r w:rsidDel="00000000" w:rsidR="00000000" w:rsidRPr="00000000">
            <w:fldChar w:fldCharType="begin"/>
            <w:instrText xml:space="preserve"> PAGEREF _zcgzo7umpj3r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amz9pp127q4j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Explainability and Observability</w:t>
              <w:tab/>
            </w:r>
          </w:hyperlink>
          <w:r w:rsidDel="00000000" w:rsidR="00000000" w:rsidRPr="00000000">
            <w:fldChar w:fldCharType="begin"/>
            <w:instrText xml:space="preserve"> PAGEREF _amz9pp127q4j \h </w:instrText>
            <w:fldChar w:fldCharType="separate"/>
          </w:r>
          <w:r w:rsidDel="00000000" w:rsidR="00000000" w:rsidRPr="00000000">
            <w:rPr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9a4na69rgl7j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Acceptable Use Restrictions</w:t>
              <w:tab/>
            </w:r>
          </w:hyperlink>
          <w:r w:rsidDel="00000000" w:rsidR="00000000" w:rsidRPr="00000000">
            <w:fldChar w:fldCharType="begin"/>
            <w:instrText xml:space="preserve"> PAGEREF _9a4na69rgl7j \h </w:instrText>
            <w:fldChar w:fldCharType="separate"/>
          </w:r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lmvdcgitwlgq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Evaluation &amp; Testing</w:t>
              <w:tab/>
            </w:r>
          </w:hyperlink>
          <w:r w:rsidDel="00000000" w:rsidR="00000000" w:rsidRPr="00000000">
            <w:fldChar w:fldCharType="begin"/>
            <w:instrText xml:space="preserve"> PAGEREF _lmvdcgitwlgq \h </w:instrText>
            <w:fldChar w:fldCharType="separate"/>
          </w:r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4ybfiv6b9kpo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Risk Management Framework</w:t>
              <w:tab/>
            </w:r>
          </w:hyperlink>
          <w:r w:rsidDel="00000000" w:rsidR="00000000" w:rsidRPr="00000000">
            <w:fldChar w:fldCharType="begin"/>
            <w:instrText xml:space="preserve"> PAGEREF _4ybfiv6b9kpo \h </w:instrText>
            <w:fldChar w:fldCharType="separate"/>
          </w:r>
          <w:r w:rsidDel="00000000" w:rsidR="00000000" w:rsidRPr="00000000">
            <w:rPr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aa7uv8rzarci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Compliance Reporting</w:t>
              <w:tab/>
            </w:r>
          </w:hyperlink>
          <w:r w:rsidDel="00000000" w:rsidR="00000000" w:rsidRPr="00000000">
            <w:fldChar w:fldCharType="begin"/>
            <w:instrText xml:space="preserve"> PAGEREF _aa7uv8rzarci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i8w97zno3o88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Incident Response Plan</w:t>
              <w:tab/>
            </w:r>
          </w:hyperlink>
          <w:r w:rsidDel="00000000" w:rsidR="00000000" w:rsidRPr="00000000">
            <w:fldChar w:fldCharType="begin"/>
            <w:instrText xml:space="preserve"> PAGEREF _i8w97zno3o88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7x80pjw6ofhd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Human-in-the-loop (HITL)</w:t>
              <w:tab/>
            </w:r>
          </w:hyperlink>
          <w:r w:rsidDel="00000000" w:rsidR="00000000" w:rsidRPr="00000000">
            <w:fldChar w:fldCharType="begin"/>
            <w:instrText xml:space="preserve"> PAGEREF _7x80pjw6ofhd \h </w:instrText>
            <w:fldChar w:fldCharType="separate"/>
          </w:r>
          <w:r w:rsidDel="00000000" w:rsidR="00000000" w:rsidRPr="00000000">
            <w:rPr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h4o4zp7dqegf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Vendor &amp; Tool Governance</w:t>
              <w:tab/>
            </w:r>
          </w:hyperlink>
          <w:r w:rsidDel="00000000" w:rsidR="00000000" w:rsidRPr="00000000">
            <w:fldChar w:fldCharType="begin"/>
            <w:instrText xml:space="preserve"> PAGEREF _h4o4zp7dqegf \h </w:instrText>
            <w:fldChar w:fldCharType="separate"/>
          </w:r>
          <w:r w:rsidDel="00000000" w:rsidR="00000000" w:rsidRPr="00000000">
            <w:rPr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5q4223iwep1m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Employee Training &amp; Awareness</w:t>
              <w:tab/>
            </w:r>
          </w:hyperlink>
          <w:r w:rsidDel="00000000" w:rsidR="00000000" w:rsidRPr="00000000">
            <w:fldChar w:fldCharType="begin"/>
            <w:instrText xml:space="preserve"> PAGEREF _5q4223iwep1m \h </w:instrText>
            <w:fldChar w:fldCharType="separate"/>
          </w:r>
          <w:r w:rsidDel="00000000" w:rsidR="00000000" w:rsidRPr="00000000">
            <w:rPr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widowControl w:val="0"/>
            <w:tabs>
              <w:tab w:val="right" w:leader="none" w:pos="10199.519805908203"/>
            </w:tabs>
            <w:spacing w:before="60" w:line="240" w:lineRule="auto"/>
            <w:ind w:left="360" w:firstLine="0"/>
            <w:rPr>
              <w:color w:val="000000"/>
              <w:u w:val="none"/>
            </w:rPr>
          </w:pPr>
          <w:hyperlink w:anchor="_bms2ex4dwy8h">
            <w:r w:rsidDel="00000000" w:rsidR="00000000" w:rsidRPr="00000000">
              <w:rPr>
                <w:color w:val="000000"/>
                <w:u w:val="none"/>
                <w:rtl w:val="0"/>
              </w:rPr>
              <w:t xml:space="preserve">Review and Updates</w:t>
              <w:tab/>
            </w:r>
          </w:hyperlink>
          <w:r w:rsidDel="00000000" w:rsidR="00000000" w:rsidRPr="00000000">
            <w:fldChar w:fldCharType="begin"/>
            <w:instrText xml:space="preserve"> PAGEREF _bms2ex4dwy8h \h </w:instrText>
            <w:fldChar w:fldCharType="separate"/>
          </w:r>
          <w:r w:rsidDel="00000000" w:rsidR="00000000" w:rsidRPr="00000000">
            <w:rPr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ftddanprn6za" w:id="3"/>
      <w:bookmarkEnd w:id="3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Purpose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This policy establishes principles and procedures for the responsible use of Artificial Intelligence (AI) within StructuredWeb, a Channel Marketing SaaS provider. It ensures that AI is used to enhance platform features, drive partner/vendor value, and optimize operations, while aligning with ethical, legal, and business standards.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o6v7ej77pq78" w:id="4"/>
      <w:bookmarkEnd w:id="4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Scope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This policy applies to all employees, contractors, and systems that design, develop, use, or integrate AI technologies within: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Partner profiling, scoring, and segmentation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Campaign recommendation and personalization engines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Marketing performance analysis and insights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Support automation and AI chatbots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Internal productivity or analytics tools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720" w:hanging="360"/>
      </w:pPr>
      <w:r w:rsidDel="00000000" w:rsidR="00000000" w:rsidRPr="00000000">
        <w:rPr>
          <w:rtl w:val="0"/>
        </w:rPr>
        <w:t xml:space="preserve">Content generation/moderation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6c8ti4v7y4d" w:id="5"/>
      <w:bookmarkEnd w:id="5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Ethical AI Principles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AI usage at StructuredWeb must adhere to these principles: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Fairness</w:t>
      </w:r>
      <w:r w:rsidDel="00000000" w:rsidR="00000000" w:rsidRPr="00000000">
        <w:rPr>
          <w:rtl w:val="0"/>
        </w:rPr>
        <w:t xml:space="preserve">: Prevent bias in partner or vendor scoring, content generation, or campaign recommendations or any other recommendations that the system generates.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Transparency</w:t>
      </w:r>
      <w:r w:rsidDel="00000000" w:rsidR="00000000" w:rsidRPr="00000000">
        <w:rPr>
          <w:rtl w:val="0"/>
        </w:rPr>
        <w:t xml:space="preserve">: Clearly disclose when AI-generated results or decisions are presented to users.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Accountability</w:t>
      </w:r>
      <w:r w:rsidDel="00000000" w:rsidR="00000000" w:rsidRPr="00000000">
        <w:rPr>
          <w:rtl w:val="0"/>
        </w:rPr>
        <w:t xml:space="preserve">: Final decisions involving significant impact (e.g., campaign budget suggestions or partner categorization) should have human oversight.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zcgzo7umpj3r" w:id="6"/>
      <w:bookmarkEnd w:id="6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Data Privacy and Security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We commit to: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Protecting Customer Data</w:t>
      </w:r>
      <w:r w:rsidDel="00000000" w:rsidR="00000000" w:rsidRPr="00000000">
        <w:rPr>
          <w:rtl w:val="0"/>
        </w:rPr>
        <w:t xml:space="preserve">: All AI systems must comply with applicable privacy laws (e.g., GDPR, CCPA, DPDP) and use only authorized datasets.</w:t>
      </w:r>
    </w:p>
    <w:p w:rsidR="00000000" w:rsidDel="00000000" w:rsidP="00000000" w:rsidRDefault="00000000" w:rsidRPr="00000000" w14:paraId="00000042">
      <w:pPr>
        <w:numPr>
          <w:ilvl w:val="0"/>
          <w:numId w:val="10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 Unpermitted Training</w:t>
      </w:r>
      <w:r w:rsidDel="00000000" w:rsidR="00000000" w:rsidRPr="00000000">
        <w:rPr>
          <w:rtl w:val="0"/>
        </w:rPr>
        <w:t xml:space="preserve">: We do not use customer-provided data to train public or third-party AI models without explicit consent.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Secure APIs</w:t>
      </w:r>
      <w:r w:rsidDel="00000000" w:rsidR="00000000" w:rsidRPr="00000000">
        <w:rPr>
          <w:rtl w:val="0"/>
        </w:rPr>
        <w:t xml:space="preserve">: Only vetted and secure AI services (e.g., OpenAI, Google, etc. ) are allowed via encrypted channels and authenticated APIs.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amz9pp127q4j" w:id="7"/>
      <w:bookmarkEnd w:id="7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Explainability and Observability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All AI systems should produce </w:t>
      </w:r>
      <w:r w:rsidDel="00000000" w:rsidR="00000000" w:rsidRPr="00000000">
        <w:rPr>
          <w:b w:val="1"/>
          <w:bCs w:val="1"/>
          <w:rtl w:val="0"/>
        </w:rPr>
        <w:t xml:space="preserve">auditable logs</w:t>
      </w:r>
      <w:r w:rsidDel="00000000" w:rsidR="00000000" w:rsidRPr="00000000">
        <w:rPr>
          <w:rtl w:val="0"/>
        </w:rPr>
        <w:t xml:space="preserve">, and key outputs must be explainable.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Any AI that influences user-facing recommendations or scoring must include a summary rationale or confidence score.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ind w:left="720" w:hanging="360"/>
      </w:pPr>
      <w:r w:rsidDel="00000000" w:rsidR="00000000" w:rsidRPr="00000000">
        <w:rPr>
          <w:rtl w:val="0"/>
        </w:rPr>
        <w:t xml:space="preserve">An AI observability layer (e.g., logging, alerting, tracing) must be implemented for monitoring performance and failures.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9a4na69rgl7j" w:id="8"/>
      <w:bookmarkEnd w:id="8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Acceptable Use Restrictions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The following are strictly prohibited: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Using AI to manipulate end-user behavior unfairly (e.g., dark patterns)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Generating synthetic or deceptive content in partner/vendor contexts without explicit labeling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Using AI for surveillance or profiling beyond defined legitimate use cases</w:t>
      </w:r>
    </w:p>
    <w:p w:rsidR="00000000" w:rsidDel="00000000" w:rsidP="00000000" w:rsidRDefault="00000000" w:rsidRPr="00000000" w14:paraId="0000005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lmvdcgitwlgq" w:id="9"/>
      <w:bookmarkEnd w:id="9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Evaluation &amp; Testing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New AI features must undergo </w:t>
      </w:r>
      <w:r w:rsidDel="00000000" w:rsidR="00000000" w:rsidRPr="00000000">
        <w:rPr>
          <w:b w:val="1"/>
          <w:bCs w:val="1"/>
          <w:rtl w:val="0"/>
        </w:rPr>
        <w:t xml:space="preserve">bias testing, accuracy validation, and adversarial robustness checks</w:t>
      </w:r>
      <w:r w:rsidDel="00000000" w:rsidR="00000000" w:rsidRPr="00000000">
        <w:rPr>
          <w:rtl w:val="0"/>
        </w:rPr>
        <w:t xml:space="preserve"> before deployment.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All LLM-based features must be tested against </w:t>
      </w:r>
      <w:r w:rsidDel="00000000" w:rsidR="00000000" w:rsidRPr="00000000">
        <w:rPr>
          <w:b w:val="1"/>
          <w:bCs w:val="1"/>
          <w:rtl w:val="0"/>
        </w:rPr>
        <w:t xml:space="preserve">OWASP Top 10 for LLMs</w:t>
      </w:r>
      <w:r w:rsidDel="00000000" w:rsidR="00000000" w:rsidRPr="00000000">
        <w:rPr>
          <w:rtl w:val="0"/>
        </w:rPr>
        <w:t xml:space="preserve">, especially for prompt injection and hallucinations.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Real world simulation testing should be conducted on all AI features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All AI-generated text content must undergo automated and/or manual reviews to ensure it aligns with brand tone, factual accuracy, legal compliance (e.g., disclaimers, claims), and avoids inappropriate, biased, or misleading language.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All AI-generated outputs must pass content moderation checks—automated or manual—to detect and block harmful, offensive, politically sensitive, or policy-violating content.</w:t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All AI features must be evaluated using clearly defined quantitative and qualitative metrics, such as accuracy, precision, recall, F1 score (for classification), BLEU/ROUGE scores (for generated text), and business impact KPIs like conversion uplift, engagement rates, or lead quality improvement—based on the use case.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All LLM-based features must implement safeguards against prompt injection attacks using input/output sanitization and allowlisting techniques. Tools such as </w:t>
      </w:r>
      <w:r w:rsidDel="00000000" w:rsidR="00000000" w:rsidRPr="00000000">
        <w:rPr>
          <w:b w:val="1"/>
          <w:bCs w:val="1"/>
          <w:rtl w:val="0"/>
        </w:rPr>
        <w:t xml:space="preserve">NVIDIA NeMo Guardrails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OpenAI Moderation API</w:t>
      </w:r>
      <w:r w:rsidDel="00000000" w:rsidR="00000000" w:rsidRPr="00000000">
        <w:rPr>
          <w:rtl w:val="0"/>
        </w:rPr>
        <w:t xml:space="preserve">, or custom validation layers should be integrated where applicable.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4ybfiv6b9kpo" w:id="10"/>
      <w:bookmarkEnd w:id="10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Risk Management Framework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StructuredWeb will adopt a proactive AI risk management approach to identify, assess, and mitigate potential risks associated with AI systems throughout their lifecycle.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This includes: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Risk Identification</w:t>
      </w:r>
      <w:r w:rsidDel="00000000" w:rsidR="00000000" w:rsidRPr="00000000">
        <w:rPr>
          <w:rtl w:val="0"/>
        </w:rPr>
        <w:t xml:space="preserve">: All AI features must undergo a pre-launch risk assessment covering data sensitivity, model behavior, potential for misuse, and downstream impact on users.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Risk Classification</w:t>
      </w:r>
      <w:r w:rsidDel="00000000" w:rsidR="00000000" w:rsidRPr="00000000">
        <w:rPr>
          <w:rtl w:val="0"/>
        </w:rPr>
        <w:t xml:space="preserve">: Risks will be categorized as low, medium, or high based on their potential harm to users, partners, or the platform.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Mitigation Controls</w:t>
      </w:r>
      <w:r w:rsidDel="00000000" w:rsidR="00000000" w:rsidRPr="00000000">
        <w:rPr>
          <w:rtl w:val="0"/>
        </w:rPr>
        <w:t xml:space="preserve">: Appropriate controls—such as rate limiting, human overrides, data redaction, or prompt filtering—must be implemented based on the risk classification.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Continuous Monitoring</w:t>
      </w:r>
      <w:r w:rsidDel="00000000" w:rsidR="00000000" w:rsidRPr="00000000">
        <w:rPr>
          <w:rtl w:val="0"/>
        </w:rPr>
        <w:t xml:space="preserve">: High-impact AI systems must include runtime monitoring to detect anomalies, drifts, or unexpected behaviors in production.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Governance Oversight</w:t>
      </w:r>
      <w:r w:rsidDel="00000000" w:rsidR="00000000" w:rsidRPr="00000000">
        <w:rPr>
          <w:rtl w:val="0"/>
        </w:rPr>
        <w:t xml:space="preserve">: The AI Governance Council will review risks quarterly and maintain an AI Risk Register for transparency and accountability.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aa7uv8rzarci" w:id="11"/>
      <w:bookmarkEnd w:id="11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Compliance Reporting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StructuredWeb is committed to ensuring AI system compliance with applicable laws, regulations, and internal policies.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Key practices include:</w:t>
      </w:r>
    </w:p>
    <w:p w:rsidR="00000000" w:rsidDel="00000000" w:rsidP="00000000" w:rsidRDefault="00000000" w:rsidRPr="00000000" w14:paraId="00000068">
      <w:pPr>
        <w:numPr>
          <w:ilvl w:val="0"/>
          <w:numId w:val="1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Audit Trails</w:t>
      </w:r>
      <w:r w:rsidDel="00000000" w:rsidR="00000000" w:rsidRPr="00000000">
        <w:rPr>
          <w:rtl w:val="0"/>
        </w:rPr>
        <w:t xml:space="preserve">: All key AI system decisions, training/evaluation datasets, and output logs must be retained for auditability.</w:t>
      </w:r>
    </w:p>
    <w:p w:rsidR="00000000" w:rsidDel="00000000" w:rsidP="00000000" w:rsidRDefault="00000000" w:rsidRPr="00000000" w14:paraId="00000069">
      <w:pPr>
        <w:numPr>
          <w:ilvl w:val="0"/>
          <w:numId w:val="1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Regulatory Alignment</w:t>
      </w:r>
      <w:r w:rsidDel="00000000" w:rsidR="00000000" w:rsidRPr="00000000">
        <w:rPr>
          <w:rtl w:val="0"/>
        </w:rPr>
        <w:t xml:space="preserve">: AI systems must comply with privacy (e.g., GDPR, CCPA, DPDP), marketing, and consumer protection regulations.</w:t>
      </w:r>
    </w:p>
    <w:p w:rsidR="00000000" w:rsidDel="00000000" w:rsidP="00000000" w:rsidRDefault="00000000" w:rsidRPr="00000000" w14:paraId="0000006A">
      <w:pPr>
        <w:numPr>
          <w:ilvl w:val="0"/>
          <w:numId w:val="1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External Disclosures</w:t>
      </w:r>
      <w:r w:rsidDel="00000000" w:rsidR="00000000" w:rsidRPr="00000000">
        <w:rPr>
          <w:rtl w:val="0"/>
        </w:rPr>
        <w:t xml:space="preserve">: When required, StructuredWeb will provide regulators or partners with documentation on AI model design, testing, and controls.</w:t>
      </w:r>
    </w:p>
    <w:p w:rsidR="00000000" w:rsidDel="00000000" w:rsidP="00000000" w:rsidRDefault="00000000" w:rsidRPr="00000000" w14:paraId="0000006B">
      <w:pPr>
        <w:numPr>
          <w:ilvl w:val="0"/>
          <w:numId w:val="12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Annual Review</w:t>
      </w:r>
      <w:r w:rsidDel="00000000" w:rsidR="00000000" w:rsidRPr="00000000">
        <w:rPr>
          <w:rtl w:val="0"/>
        </w:rPr>
        <w:t xml:space="preserve">: A compliance report on AI usage, incidents, and mitigations will be compiled and reviewed annually by legal and governance teams.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i8w97zno3o88" w:id="12"/>
      <w:bookmarkEnd w:id="12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Incident Response Plan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StructuredWeb will follow a defined incident response protocol for AI-related issues to minimize impact and ensure accountability.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This includes: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Detection</w:t>
      </w:r>
      <w:r w:rsidDel="00000000" w:rsidR="00000000" w:rsidRPr="00000000">
        <w:rPr>
          <w:rtl w:val="0"/>
        </w:rPr>
        <w:t xml:space="preserve">: All AI systems must be instrumented to detect and alert on anomalies, failures, or policy violations in real-time or near real-time.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Classification</w:t>
      </w:r>
      <w:r w:rsidDel="00000000" w:rsidR="00000000" w:rsidRPr="00000000">
        <w:rPr>
          <w:rtl w:val="0"/>
        </w:rPr>
        <w:t xml:space="preserve">: Incidents will be triaged based on severity (e.g., model output violation, data leak, algorithmic harm).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Response Team</w:t>
      </w:r>
      <w:r w:rsidDel="00000000" w:rsidR="00000000" w:rsidRPr="00000000">
        <w:rPr>
          <w:rtl w:val="0"/>
        </w:rPr>
        <w:t xml:space="preserve">: An AI Incident Response Team (comprising engineering, legal, and product leads) will coordinate resolution.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Remediation</w:t>
      </w:r>
      <w:r w:rsidDel="00000000" w:rsidR="00000000" w:rsidRPr="00000000">
        <w:rPr>
          <w:rtl w:val="0"/>
        </w:rPr>
        <w:t xml:space="preserve">: Prompt corrective actions must be taken, including rolling back features, disabling outputs, or patching prompts/models.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Communication</w:t>
      </w:r>
      <w:r w:rsidDel="00000000" w:rsidR="00000000" w:rsidRPr="00000000">
        <w:rPr>
          <w:rtl w:val="0"/>
        </w:rPr>
        <w:t xml:space="preserve">: Affected stakeholders will be notified, and regulatory disclosures will be made if required.</w:t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Postmortem</w:t>
      </w:r>
      <w:r w:rsidDel="00000000" w:rsidR="00000000" w:rsidRPr="00000000">
        <w:rPr>
          <w:rtl w:val="0"/>
        </w:rPr>
        <w:t xml:space="preserve">: A root cause analysis must be conducted, with lessons learned fed back into the risk and compliance processes.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7x80pjw6ofhd" w:id="13"/>
      <w:bookmarkEnd w:id="13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Human-in-the-loop (HITL)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AI should </w:t>
      </w:r>
      <w:r w:rsidDel="00000000" w:rsidR="00000000" w:rsidRPr="00000000">
        <w:rPr>
          <w:b w:val="1"/>
          <w:bCs w:val="1"/>
          <w:rtl w:val="0"/>
        </w:rPr>
        <w:t xml:space="preserve">augment, not replace</w:t>
      </w:r>
      <w:r w:rsidDel="00000000" w:rsidR="00000000" w:rsidRPr="00000000">
        <w:rPr>
          <w:rtl w:val="0"/>
        </w:rPr>
        <w:t xml:space="preserve"> human judgment—particularly in areas like partner fit assessment, lead prioritization, and campaign strategy.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The system should allow users to </w:t>
      </w:r>
      <w:r w:rsidDel="00000000" w:rsidR="00000000" w:rsidRPr="00000000">
        <w:rPr>
          <w:b w:val="1"/>
          <w:bCs w:val="1"/>
          <w:rtl w:val="0"/>
        </w:rPr>
        <w:t xml:space="preserve">override AI-generated decisions</w:t>
      </w:r>
      <w:r w:rsidDel="00000000" w:rsidR="00000000" w:rsidRPr="00000000">
        <w:rPr>
          <w:rtl w:val="0"/>
        </w:rPr>
        <w:t xml:space="preserve"> where practical.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h4o4zp7dqegf" w:id="14"/>
      <w:bookmarkEnd w:id="14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Vendor &amp; Tool Governance</w:t>
      </w:r>
    </w:p>
    <w:p w:rsidR="00000000" w:rsidDel="00000000" w:rsidP="00000000" w:rsidRDefault="00000000" w:rsidRPr="00000000" w14:paraId="0000007D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Only approved vendors/tools listed in our </w:t>
      </w:r>
      <w:r w:rsidDel="00000000" w:rsidR="00000000" w:rsidRPr="00000000">
        <w:rPr>
          <w:b w:val="1"/>
          <w:bCs w:val="1"/>
          <w:rtl w:val="0"/>
        </w:rPr>
        <w:t xml:space="preserve">AI Vendor Register</w:t>
      </w:r>
      <w:r w:rsidDel="00000000" w:rsidR="00000000" w:rsidRPr="00000000">
        <w:rPr>
          <w:rtl w:val="0"/>
        </w:rPr>
        <w:t xml:space="preserve"> may be used.</w:t>
      </w:r>
    </w:p>
    <w:p w:rsidR="00000000" w:rsidDel="00000000" w:rsidP="00000000" w:rsidRDefault="00000000" w:rsidRPr="00000000" w14:paraId="0000007E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Each third-party AI integration must pass a </w:t>
      </w:r>
      <w:r w:rsidDel="00000000" w:rsidR="00000000" w:rsidRPr="00000000">
        <w:rPr>
          <w:b w:val="1"/>
          <w:bCs w:val="1"/>
          <w:rtl w:val="0"/>
        </w:rPr>
        <w:t xml:space="preserve">security, privacy, and compliance review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F">
      <w:pPr>
        <w:numPr>
          <w:ilvl w:val="0"/>
          <w:numId w:val="11"/>
        </w:numPr>
        <w:ind w:left="720" w:hanging="360"/>
      </w:pPr>
      <w:r w:rsidDel="00000000" w:rsidR="00000000" w:rsidRPr="00000000">
        <w:rPr>
          <w:rtl w:val="0"/>
        </w:rPr>
        <w:t xml:space="preserve">Usage of open-source or public LLMs requires security gating or sandboxed execution.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5q4223iwep1m" w:id="15"/>
      <w:bookmarkEnd w:id="15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Employee Training &amp; Awareness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All relevant teams (Product, Engineering, QA, Marketing, Sales) must complete AI usage and ethics training annually.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Internal documentation should include responsible AI usage guides for product features.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spacing w:after="120" w:lineRule="auto"/>
        <w:rPr>
          <w:b w:val="0"/>
          <w:bCs w:val="0"/>
          <w:sz w:val="32"/>
          <w:szCs w:val="32"/>
        </w:rPr>
      </w:pPr>
      <w:bookmarkStart w:colFirst="0" w:colLast="0" w:name="_bms2ex4dwy8h" w:id="16"/>
      <w:bookmarkEnd w:id="16"/>
      <w:r w:rsidDel="00000000" w:rsidR="00000000" w:rsidRPr="00000000">
        <w:rPr>
          <w:b w:val="0"/>
          <w:bCs w:val="0"/>
          <w:sz w:val="32"/>
          <w:szCs w:val="32"/>
          <w:rtl w:val="0"/>
        </w:rPr>
        <w:t xml:space="preserve">Review and Updates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This policy will be reviewed every </w:t>
      </w:r>
      <w:r w:rsidDel="00000000" w:rsidR="00000000" w:rsidRPr="00000000">
        <w:rPr>
          <w:b w:val="1"/>
          <w:bCs w:val="1"/>
          <w:rtl w:val="0"/>
        </w:rPr>
        <w:t xml:space="preserve">12 months</w:t>
      </w:r>
      <w:r w:rsidDel="00000000" w:rsidR="00000000" w:rsidRPr="00000000">
        <w:rPr>
          <w:rtl w:val="0"/>
        </w:rPr>
        <w:t xml:space="preserve"> or sooner if: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AI regulations change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New AI systems are introduced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Major incidents or AI-related issues occur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7.26402282714844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5.125732421875" w:line="240" w:lineRule="auto"/>
        <w:ind w:left="16.800003051757812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136474609375" w:line="240" w:lineRule="auto"/>
        <w:ind w:left="9.599990844726562" w:right="546.959228515625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799.2000579833984" w:top="381.600341796875" w:left="994.0800476074219" w:right="1046.40014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ambria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widowControl w:val="0"/>
      <w:spacing w:line="240" w:lineRule="auto"/>
      <w:ind w:left="0" w:firstLine="0"/>
      <w:rPr/>
    </w:pPr>
    <w:r w:rsidDel="00000000" w:rsidR="00000000" w:rsidRPr="00000000">
      <w:rPr>
        <w:rFonts w:ascii="Cambria" w:cs="Cambria" w:eastAsia="Cambria" w:hAnsi="Cambria"/>
        <w:color w:val="e46d0a"/>
        <w:sz w:val="22.079999923706055"/>
        <w:szCs w:val="22.079999923706055"/>
        <w:rtl w:val="0"/>
      </w:rPr>
      <w:t xml:space="preserve">Confidential</w:t>
      <w:tab/>
      <w:tab/>
      <w:tab/>
      <w:tab/>
      <w:tab/>
      <w:tab/>
      <w:tab/>
    </w:r>
    <w:r w:rsidDel="00000000" w:rsidR="00000000" w:rsidRPr="00000000">
      <w:rPr>
        <w:rFonts w:ascii="Calibri" w:cs="Calibri" w:eastAsia="Calibri" w:hAnsi="Calibri"/>
        <w:sz w:val="22.079999923706055"/>
        <w:szCs w:val="22.079999923706055"/>
        <w:rtl w:val="0"/>
      </w:rPr>
      <w:t xml:space="preserve">AI</w:t>
    </w:r>
    <w:r w:rsidDel="00000000" w:rsidR="00000000" w:rsidRPr="00000000">
      <w:rPr>
        <w:rFonts w:ascii="Calibri" w:cs="Calibri" w:eastAsia="Calibri" w:hAnsi="Calibri"/>
        <w:sz w:val="22.079999923706055"/>
        <w:szCs w:val="22.079999923706055"/>
        <w:rtl w:val="0"/>
      </w:rPr>
      <w:t xml:space="preserve"> Policy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